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93C5" w14:textId="211BE6D0" w:rsidR="00B70758" w:rsidRDefault="00465C5C" w:rsidP="00241766">
      <w:pPr>
        <w:spacing w:before="100" w:beforeAutospacing="1" w:after="100" w:afterAutospacing="1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54F7EF13" wp14:editId="7CA355B4">
            <wp:extent cx="1917700" cy="730250"/>
            <wp:effectExtent l="0" t="0" r="0" b="0"/>
            <wp:docPr id="3" name="Picture 3" descr="N:\Personal\Hope at the Lake\Hope_at_the_Lake_Ful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ersonal\Hope at the Lake\Hope_at_the_Lake_Full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B387" w14:textId="77777777" w:rsidR="00F77054" w:rsidRDefault="003C37E1" w:rsidP="00241766">
      <w:pPr>
        <w:spacing w:before="100" w:beforeAutospacing="1" w:after="100" w:afterAutospacing="1"/>
        <w:contextualSpacing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Hope at t</w:t>
      </w:r>
      <w:r w:rsidR="00F77054" w:rsidRPr="00F77054">
        <w:rPr>
          <w:rFonts w:ascii="Verdana" w:hAnsi="Verdana" w:cs="Arial"/>
          <w:b/>
          <w:bCs/>
          <w:color w:val="000000"/>
          <w:sz w:val="28"/>
          <w:szCs w:val="28"/>
        </w:rPr>
        <w:t xml:space="preserve">he </w:t>
      </w:r>
      <w:r>
        <w:rPr>
          <w:rFonts w:ascii="Verdana" w:hAnsi="Verdana" w:cs="Arial"/>
          <w:b/>
          <w:bCs/>
          <w:color w:val="000000"/>
          <w:sz w:val="28"/>
          <w:szCs w:val="28"/>
        </w:rPr>
        <w:t>Lake</w:t>
      </w:r>
      <w:r w:rsidR="00F77054" w:rsidRPr="00F77054">
        <w:rPr>
          <w:rFonts w:ascii="Verdana" w:hAnsi="Verdana" w:cs="Arial"/>
          <w:b/>
          <w:bCs/>
          <w:color w:val="000000"/>
          <w:sz w:val="28"/>
          <w:szCs w:val="28"/>
        </w:rPr>
        <w:t xml:space="preserve"> Foundation</w:t>
      </w:r>
    </w:p>
    <w:p w14:paraId="21C0F60C" w14:textId="77777777" w:rsidR="00563729" w:rsidRDefault="003C37E1" w:rsidP="00241766">
      <w:pPr>
        <w:spacing w:before="100" w:beforeAutospacing="1" w:after="100" w:afterAutospacing="1"/>
        <w:contextualSpacing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Grant Proposal</w:t>
      </w:r>
      <w:r w:rsidR="00563729" w:rsidRPr="00F77054">
        <w:rPr>
          <w:rFonts w:ascii="Verdana" w:hAnsi="Verdana" w:cs="Arial"/>
          <w:b/>
          <w:bCs/>
          <w:color w:val="000000"/>
          <w:sz w:val="28"/>
          <w:szCs w:val="28"/>
        </w:rPr>
        <w:t xml:space="preserve"> Guidelines</w:t>
      </w:r>
    </w:p>
    <w:p w14:paraId="02ABE016" w14:textId="77777777" w:rsidR="00241766" w:rsidRDefault="00241766" w:rsidP="00241766">
      <w:pPr>
        <w:spacing w:before="100" w:beforeAutospacing="1" w:after="100" w:afterAutospacing="1"/>
        <w:contextualSpacing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16C06889" w14:textId="581F4CBF" w:rsidR="00BA0149" w:rsidRPr="00626426" w:rsidRDefault="00626426" w:rsidP="00241766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</w:t>
      </w:r>
      <w:r w:rsidR="00BA0149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hat is the </w:t>
      </w:r>
      <w:r w:rsidR="003C37E1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Hope at t</w:t>
      </w:r>
      <w:r w:rsidR="00BA0149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he </w:t>
      </w:r>
      <w:r w:rsidR="003C37E1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Lake</w:t>
      </w:r>
      <w:r w:rsidR="00BA0149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Foundation</w:t>
      </w:r>
      <w:r w:rsidR="003C37E1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?</w:t>
      </w:r>
      <w:r w:rsidR="00465C5C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br/>
      </w:r>
      <w:r w:rsidR="00465C5C">
        <w:rPr>
          <w:rFonts w:ascii="Muli" w:hAnsi="Muli"/>
          <w:color w:val="1B1B1B"/>
          <w:spacing w:val="8"/>
          <w:shd w:val="clear" w:color="auto" w:fill="FFFFFF"/>
        </w:rPr>
        <w:t>​</w:t>
      </w:r>
      <w:r w:rsidR="00465C5C" w:rsidRPr="00465C5C">
        <w:rPr>
          <w:rFonts w:ascii="Verdana" w:hAnsi="Verdana" w:cs="Arial"/>
          <w:color w:val="000000"/>
          <w:sz w:val="22"/>
          <w:szCs w:val="22"/>
        </w:rPr>
        <w:t>Hope at the Lake is a 501(c</w:t>
      </w:r>
      <w:proofErr w:type="gramStart"/>
      <w:r w:rsidR="00465C5C" w:rsidRPr="00465C5C">
        <w:rPr>
          <w:rFonts w:ascii="Verdana" w:hAnsi="Verdana" w:cs="Arial"/>
          <w:color w:val="000000"/>
          <w:sz w:val="22"/>
          <w:szCs w:val="22"/>
        </w:rPr>
        <w:t>)(</w:t>
      </w:r>
      <w:proofErr w:type="gramEnd"/>
      <w:r w:rsidR="00465C5C" w:rsidRPr="00465C5C">
        <w:rPr>
          <w:rFonts w:ascii="Verdana" w:hAnsi="Verdana" w:cs="Arial"/>
          <w:color w:val="000000"/>
          <w:sz w:val="22"/>
          <w:szCs w:val="22"/>
        </w:rPr>
        <w:t>3) non-profit organization committed to improving the lives of our Lake Norman neighbors in need. Our mission is to facilitate a “community of caring” by connecting compassionate donors with immediate community need.</w:t>
      </w:r>
    </w:p>
    <w:p w14:paraId="6E77209E" w14:textId="2DA32DC9" w:rsidR="00BA0149" w:rsidRPr="00626426" w:rsidRDefault="00BA0149" w:rsidP="00BA0149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What are Grants?</w:t>
      </w:r>
      <w:r w:rsidRPr="00626426">
        <w:rPr>
          <w:rFonts w:ascii="Verdana" w:hAnsi="Verdana" w:cs="Arial"/>
          <w:color w:val="000000"/>
          <w:sz w:val="22"/>
          <w:szCs w:val="22"/>
        </w:rPr>
        <w:br/>
        <w:t xml:space="preserve">Grants are </w:t>
      </w:r>
      <w:r w:rsidR="00AD24D0">
        <w:rPr>
          <w:rFonts w:ascii="Verdana" w:hAnsi="Verdana" w:cs="Arial"/>
          <w:color w:val="000000"/>
          <w:sz w:val="22"/>
          <w:szCs w:val="22"/>
        </w:rPr>
        <w:t xml:space="preserve">financial </w:t>
      </w:r>
      <w:r w:rsidRPr="00626426">
        <w:rPr>
          <w:rFonts w:ascii="Verdana" w:hAnsi="Verdana" w:cs="Arial"/>
          <w:color w:val="000000"/>
          <w:sz w:val="22"/>
          <w:szCs w:val="22"/>
        </w:rPr>
        <w:t>awards to non-profit organizations serving Mooresville</w:t>
      </w:r>
      <w:r w:rsidR="00C918BB" w:rsidRPr="00626426">
        <w:rPr>
          <w:rFonts w:ascii="Verdana" w:hAnsi="Verdana" w:cs="Arial"/>
          <w:color w:val="000000"/>
          <w:sz w:val="22"/>
          <w:szCs w:val="22"/>
        </w:rPr>
        <w:t>,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 North Carolina specifically, and the Lake Norman, North Carolina area in general. They are designed to help these organizations addr</w:t>
      </w:r>
      <w:r w:rsidR="003D369C">
        <w:rPr>
          <w:rFonts w:ascii="Verdana" w:hAnsi="Verdana" w:cs="Arial"/>
          <w:color w:val="000000"/>
          <w:sz w:val="22"/>
          <w:szCs w:val="22"/>
        </w:rPr>
        <w:t>ess identified community needs.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 Grants are awarded on a competitive basis. </w:t>
      </w:r>
    </w:p>
    <w:p w14:paraId="6B2B3DDD" w14:textId="77777777" w:rsidR="00BA0149" w:rsidRPr="00626426" w:rsidRDefault="00BA0149" w:rsidP="00BA0149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Who is Eligible to Apply?</w:t>
      </w:r>
      <w:r w:rsidRPr="00626426">
        <w:rPr>
          <w:rFonts w:ascii="Verdana" w:hAnsi="Verdana" w:cs="Arial"/>
          <w:color w:val="000000"/>
          <w:sz w:val="22"/>
          <w:szCs w:val="22"/>
        </w:rPr>
        <w:br/>
        <w:t>Organizations must be non-profit entities serving the areas described above.  This includes 501(c)</w:t>
      </w:r>
      <w:r w:rsidR="00C918BB" w:rsidRPr="0062642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26426">
        <w:rPr>
          <w:rFonts w:ascii="Verdana" w:hAnsi="Verdana" w:cs="Arial"/>
          <w:color w:val="000000"/>
          <w:sz w:val="22"/>
          <w:szCs w:val="22"/>
        </w:rPr>
        <w:t>(3) public charities, local schools, local government entities, and religious organizations serving the public through non-religious public outreach.</w:t>
      </w:r>
    </w:p>
    <w:p w14:paraId="74F139D9" w14:textId="3D0212D5" w:rsidR="00BA0149" w:rsidRPr="00626426" w:rsidRDefault="00BA0149" w:rsidP="00BA0149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What Types of Projects Qualify for Funding?</w:t>
      </w:r>
      <w:r w:rsidRPr="00626426">
        <w:rPr>
          <w:rFonts w:ascii="Verdana" w:hAnsi="Verdana" w:cs="Arial"/>
          <w:b/>
          <w:bCs/>
          <w:color w:val="000000"/>
          <w:sz w:val="22"/>
          <w:szCs w:val="22"/>
        </w:rPr>
        <w:t> </w:t>
      </w:r>
      <w:r w:rsidRPr="00626426">
        <w:rPr>
          <w:rFonts w:ascii="Verdana" w:hAnsi="Verdana" w:cs="Arial"/>
          <w:color w:val="000000"/>
          <w:sz w:val="22"/>
          <w:szCs w:val="22"/>
        </w:rPr>
        <w:br/>
        <w:t>Grants supp</w:t>
      </w:r>
      <w:r w:rsidR="003D369C">
        <w:rPr>
          <w:rFonts w:ascii="Verdana" w:hAnsi="Verdana" w:cs="Arial"/>
          <w:color w:val="000000"/>
          <w:sz w:val="22"/>
          <w:szCs w:val="22"/>
        </w:rPr>
        <w:t>ort a wide variety of projects.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 We look for proposals that will make a substantial impact on our community in relation to the funding amo</w:t>
      </w:r>
      <w:r w:rsidR="003D369C">
        <w:rPr>
          <w:rFonts w:ascii="Verdana" w:hAnsi="Verdana" w:cs="Arial"/>
          <w:color w:val="000000"/>
          <w:sz w:val="22"/>
          <w:szCs w:val="22"/>
        </w:rPr>
        <w:t>unt requested for the project. 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Our </w:t>
      </w:r>
      <w:r w:rsidR="003C37E1" w:rsidRPr="00626426">
        <w:rPr>
          <w:rFonts w:ascii="Verdana" w:hAnsi="Verdana" w:cs="Arial"/>
          <w:color w:val="000000"/>
          <w:sz w:val="22"/>
          <w:szCs w:val="22"/>
        </w:rPr>
        <w:t>Board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 tends to avoid projects with a “drop in the bucket” feel, meaning that the requested grant will not significantly impact the community need at hand.</w:t>
      </w:r>
    </w:p>
    <w:p w14:paraId="65452FB1" w14:textId="7BD16564" w:rsidR="00BA0149" w:rsidRPr="00626426" w:rsidRDefault="00BA0149" w:rsidP="00BA0149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What Types of Projects do NOT Qualify for Funding?</w:t>
      </w:r>
      <w:r w:rsidR="003D369C">
        <w:rPr>
          <w:rFonts w:ascii="Verdana" w:hAnsi="Verdana" w:cs="Arial"/>
          <w:color w:val="000000"/>
          <w:sz w:val="22"/>
          <w:szCs w:val="22"/>
        </w:rPr>
        <w:br/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Grants will </w:t>
      </w:r>
      <w:r w:rsidR="003C37E1" w:rsidRPr="00626426">
        <w:rPr>
          <w:rFonts w:ascii="Verdana" w:hAnsi="Verdana" w:cs="Arial"/>
          <w:iCs/>
          <w:color w:val="000000"/>
          <w:sz w:val="22"/>
          <w:szCs w:val="22"/>
          <w:u w:val="single"/>
        </w:rPr>
        <w:t>NOT</w:t>
      </w:r>
      <w:r w:rsidR="003C37E1" w:rsidRPr="00626426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be provided for the following: religious activities, debt retirement, political organizations or campaigns, tickets for benefits, telephone solicitations, or organizations/projects working primarily to influence legislation.  Proposals that do not comply with proposal guidelines are not eligible for </w:t>
      </w:r>
      <w:r w:rsidR="003C37E1" w:rsidRPr="00626426">
        <w:rPr>
          <w:rFonts w:ascii="Verdana" w:hAnsi="Verdana" w:cs="Arial"/>
          <w:color w:val="000000"/>
          <w:sz w:val="22"/>
          <w:szCs w:val="22"/>
        </w:rPr>
        <w:t>Board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 review.  </w:t>
      </w:r>
    </w:p>
    <w:p w14:paraId="2A438EDD" w14:textId="77777777" w:rsidR="00563729" w:rsidRPr="00626426" w:rsidRDefault="00BA0149" w:rsidP="00BA0149">
      <w:pPr>
        <w:spacing w:before="100" w:beforeAutospacing="1" w:after="100" w:afterAutospacing="1"/>
        <w:rPr>
          <w:rFonts w:ascii="Verdana" w:hAnsi="Verdana" w:cs="Arial"/>
          <w:b/>
          <w:bCs/>
          <w:color w:val="000000"/>
          <w:sz w:val="22"/>
          <w:szCs w:val="22"/>
          <w:u w:val="single"/>
        </w:rPr>
      </w:pP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What does the Review Committee</w:t>
      </w:r>
      <w:r w:rsidR="003C37E1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/Board</w:t>
      </w: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r w:rsidR="00F77054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look</w:t>
      </w: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for in </w:t>
      </w:r>
      <w:r w:rsidR="003C37E1"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Proposals</w:t>
      </w:r>
      <w:r w:rsidRPr="00626426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?</w:t>
      </w:r>
    </w:p>
    <w:p w14:paraId="7CCC8DE5" w14:textId="77777777" w:rsidR="00563729" w:rsidRPr="00626426" w:rsidRDefault="00BA0149" w:rsidP="0056372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aps/>
          <w:color w:val="000000"/>
          <w:sz w:val="22"/>
          <w:szCs w:val="22"/>
        </w:rPr>
      </w:pPr>
      <w:r w:rsidRPr="00626426">
        <w:rPr>
          <w:rFonts w:ascii="Verdana" w:hAnsi="Verdana" w:cs="Arial"/>
          <w:caps/>
          <w:color w:val="000000"/>
          <w:sz w:val="22"/>
          <w:szCs w:val="22"/>
        </w:rPr>
        <w:t>A Clear and compelling demonstration of community need</w:t>
      </w:r>
    </w:p>
    <w:p w14:paraId="4E6C93AF" w14:textId="77777777" w:rsidR="00563729" w:rsidRPr="00626426" w:rsidRDefault="00BA0149" w:rsidP="0056372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>A reasonable, appropriate and well-developed</w:t>
      </w:r>
      <w:r w:rsidRPr="00626426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626426">
        <w:rPr>
          <w:rFonts w:ascii="Verdana" w:hAnsi="Verdana" w:cs="Arial"/>
          <w:color w:val="000000"/>
          <w:sz w:val="22"/>
          <w:szCs w:val="22"/>
        </w:rPr>
        <w:t>program that will address the stated need</w:t>
      </w:r>
    </w:p>
    <w:p w14:paraId="366A8667" w14:textId="77777777" w:rsidR="00563729" w:rsidRPr="00626426" w:rsidRDefault="00BA0149" w:rsidP="0056372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 xml:space="preserve">A detailed, accurate </w:t>
      </w:r>
      <w:r w:rsidR="003C37E1" w:rsidRPr="00626426">
        <w:rPr>
          <w:rFonts w:ascii="Verdana" w:hAnsi="Verdana" w:cs="Arial"/>
          <w:color w:val="000000"/>
          <w:sz w:val="22"/>
          <w:szCs w:val="22"/>
        </w:rPr>
        <w:t>accounting of where the money will be spent</w:t>
      </w:r>
    </w:p>
    <w:p w14:paraId="2FB2F17D" w14:textId="77777777" w:rsidR="00563729" w:rsidRPr="00626426" w:rsidRDefault="00BA0149" w:rsidP="0056372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>Evaluative tools and procedures that measure impact on the community need described in the proposal</w:t>
      </w:r>
    </w:p>
    <w:p w14:paraId="7EE71A9A" w14:textId="77777777" w:rsidR="004959C7" w:rsidRDefault="00BA0149" w:rsidP="00B7075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>Evidence of appropriate collaboration with other organizations and groups that may help strengthen the project</w:t>
      </w:r>
    </w:p>
    <w:p w14:paraId="02F4901E" w14:textId="3EAE553A" w:rsidR="00BA0149" w:rsidRPr="003D369C" w:rsidRDefault="00BA0149" w:rsidP="004959C7">
      <w:p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4959C7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lastRenderedPageBreak/>
        <w:t xml:space="preserve">When is the </w:t>
      </w:r>
      <w:r w:rsidR="003C37E1" w:rsidRPr="004959C7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Proposal</w:t>
      </w:r>
      <w:r w:rsidRPr="004959C7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Deadline?</w:t>
      </w:r>
      <w:r w:rsidRPr="004959C7">
        <w:rPr>
          <w:rFonts w:ascii="Verdana" w:hAnsi="Verdana" w:cs="Arial"/>
          <w:color w:val="000000"/>
          <w:sz w:val="22"/>
          <w:szCs w:val="22"/>
        </w:rPr>
        <w:br/>
      </w:r>
      <w:r w:rsidR="003C37E1" w:rsidRPr="004959C7">
        <w:rPr>
          <w:rFonts w:ascii="Verdana" w:hAnsi="Verdana" w:cs="Arial"/>
          <w:color w:val="000000"/>
          <w:sz w:val="22"/>
          <w:szCs w:val="22"/>
        </w:rPr>
        <w:t>Proposals</w:t>
      </w:r>
      <w:r w:rsidRPr="004959C7">
        <w:rPr>
          <w:rFonts w:ascii="Verdana" w:hAnsi="Verdana" w:cs="Arial"/>
          <w:color w:val="000000"/>
          <w:sz w:val="22"/>
          <w:szCs w:val="22"/>
        </w:rPr>
        <w:t xml:space="preserve"> are </w:t>
      </w:r>
      <w:r w:rsidR="003C37E1" w:rsidRPr="004959C7">
        <w:rPr>
          <w:rFonts w:ascii="Verdana" w:hAnsi="Verdana" w:cs="Arial"/>
          <w:color w:val="000000"/>
          <w:sz w:val="22"/>
          <w:szCs w:val="22"/>
        </w:rPr>
        <w:t xml:space="preserve">accepted and reviewed </w:t>
      </w:r>
      <w:r w:rsidR="00E8489A">
        <w:rPr>
          <w:rFonts w:ascii="Verdana" w:hAnsi="Verdana" w:cs="Arial"/>
          <w:color w:val="000000"/>
          <w:sz w:val="22"/>
          <w:szCs w:val="22"/>
        </w:rPr>
        <w:t>on a quarterly basis,</w:t>
      </w:r>
      <w:r w:rsidR="003C37E1" w:rsidRPr="004959C7">
        <w:rPr>
          <w:rFonts w:ascii="Verdana" w:hAnsi="Verdana" w:cs="Arial"/>
          <w:color w:val="000000"/>
          <w:sz w:val="22"/>
          <w:szCs w:val="22"/>
        </w:rPr>
        <w:t xml:space="preserve"> and will be publicized t</w:t>
      </w:r>
      <w:r w:rsidR="00856E97">
        <w:rPr>
          <w:rFonts w:ascii="Verdana" w:hAnsi="Verdana" w:cs="Arial"/>
          <w:color w:val="000000"/>
          <w:sz w:val="22"/>
          <w:szCs w:val="22"/>
        </w:rPr>
        <w:t xml:space="preserve">hrough various local channels. </w:t>
      </w:r>
      <w:r w:rsidR="003C37E1" w:rsidRPr="004959C7">
        <w:rPr>
          <w:rFonts w:ascii="Verdana" w:hAnsi="Verdana" w:cs="Arial"/>
          <w:color w:val="000000"/>
          <w:sz w:val="22"/>
          <w:szCs w:val="22"/>
        </w:rPr>
        <w:t>We recommend that you check our website periodi</w:t>
      </w:r>
      <w:r w:rsidR="003D369C">
        <w:rPr>
          <w:rFonts w:ascii="Verdana" w:hAnsi="Verdana" w:cs="Arial"/>
          <w:color w:val="000000"/>
          <w:sz w:val="22"/>
          <w:szCs w:val="22"/>
        </w:rPr>
        <w:t xml:space="preserve">cally for updated information. </w:t>
      </w:r>
      <w:r w:rsidRPr="004959C7">
        <w:rPr>
          <w:rFonts w:ascii="Verdana" w:hAnsi="Verdana" w:cs="Arial"/>
          <w:iCs/>
          <w:color w:val="000000"/>
          <w:sz w:val="22"/>
          <w:szCs w:val="22"/>
        </w:rPr>
        <w:t xml:space="preserve">The Foundation does not fund projects retroactively!  </w:t>
      </w:r>
    </w:p>
    <w:p w14:paraId="7B498046" w14:textId="77777777" w:rsidR="00CF01A7" w:rsidRPr="00626426" w:rsidRDefault="00CF01A7" w:rsidP="00CF01A7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 xml:space="preserve">“Emergency” or </w:t>
      </w:r>
      <w:r w:rsidR="00626426">
        <w:rPr>
          <w:rFonts w:ascii="Verdana" w:hAnsi="Verdana" w:cs="Arial"/>
          <w:color w:val="000000"/>
          <w:sz w:val="22"/>
          <w:szCs w:val="22"/>
        </w:rPr>
        <w:t>proposal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s where “special circumstances” exist should be </w:t>
      </w:r>
      <w:r w:rsidR="00626426">
        <w:rPr>
          <w:rFonts w:ascii="Verdana" w:hAnsi="Verdana" w:cs="Arial"/>
          <w:color w:val="000000"/>
          <w:sz w:val="22"/>
          <w:szCs w:val="22"/>
        </w:rPr>
        <w:t>discuss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ed with the </w:t>
      </w:r>
      <w:r w:rsidR="00626426">
        <w:rPr>
          <w:rFonts w:ascii="Verdana" w:hAnsi="Verdana" w:cs="Arial"/>
          <w:color w:val="000000"/>
          <w:sz w:val="22"/>
          <w:szCs w:val="22"/>
        </w:rPr>
        <w:t>Grant Coordinator</w:t>
      </w:r>
      <w:r w:rsidRPr="00626426">
        <w:rPr>
          <w:rFonts w:ascii="Verdana" w:hAnsi="Verdana" w:cs="Arial"/>
          <w:color w:val="000000"/>
          <w:sz w:val="22"/>
          <w:szCs w:val="22"/>
        </w:rPr>
        <w:t xml:space="preserve">, and may be accepted and reviewed at any time during the year based on need. </w:t>
      </w:r>
      <w:r w:rsidR="0062642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26426">
        <w:rPr>
          <w:rFonts w:ascii="Verdana" w:hAnsi="Verdana" w:cs="Arial"/>
          <w:color w:val="000000"/>
          <w:sz w:val="22"/>
          <w:szCs w:val="22"/>
        </w:rPr>
        <w:t>Such applications should be the exception, rather than the rule.</w:t>
      </w:r>
    </w:p>
    <w:p w14:paraId="4DCAF22B" w14:textId="77777777" w:rsidR="003C37E1" w:rsidRPr="00626426" w:rsidRDefault="003C37E1" w:rsidP="00626426">
      <w:pPr>
        <w:spacing w:before="100" w:beforeAutospacing="1" w:after="100" w:afterAutospacing="1"/>
        <w:contextualSpacing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626426">
        <w:rPr>
          <w:rFonts w:ascii="Verdana" w:hAnsi="Verdana" w:cs="Arial"/>
          <w:b/>
          <w:color w:val="000000"/>
          <w:sz w:val="22"/>
          <w:szCs w:val="22"/>
          <w:u w:val="single"/>
        </w:rPr>
        <w:t>What if I have questions?</w:t>
      </w:r>
    </w:p>
    <w:p w14:paraId="6A5F3F1D" w14:textId="57C0D6A3" w:rsidR="00EF1759" w:rsidRPr="00626426" w:rsidRDefault="003C37E1" w:rsidP="00626426">
      <w:pPr>
        <w:spacing w:before="100" w:beforeAutospacing="1" w:after="100" w:afterAutospacing="1"/>
        <w:contextualSpacing/>
        <w:rPr>
          <w:rFonts w:ascii="Verdana" w:hAnsi="Verdana" w:cs="Arial"/>
          <w:color w:val="000000"/>
          <w:sz w:val="22"/>
          <w:szCs w:val="22"/>
        </w:rPr>
      </w:pPr>
      <w:r w:rsidRPr="00626426">
        <w:rPr>
          <w:rFonts w:ascii="Verdana" w:hAnsi="Verdana" w:cs="Arial"/>
          <w:color w:val="000000"/>
          <w:sz w:val="22"/>
          <w:szCs w:val="22"/>
        </w:rPr>
        <w:t xml:space="preserve">Any questions can be addressed to our Grant Coordinator at </w:t>
      </w:r>
      <w:hyperlink r:id="rId8" w:tgtFrame="_blank" w:history="1">
        <w:r w:rsidR="00EF1759" w:rsidRPr="00EF1759">
          <w:rPr>
            <w:rFonts w:ascii="Verdana" w:hAnsi="Verdana"/>
            <w:color w:val="000000"/>
            <w:sz w:val="22"/>
            <w:szCs w:val="22"/>
          </w:rPr>
          <w:t>mikebuccialia@hopeatthelake.org</w:t>
        </w:r>
      </w:hyperlink>
      <w:r w:rsidR="00EF1759">
        <w:rPr>
          <w:rFonts w:ascii="Verdana" w:hAnsi="Verdana" w:cs="Arial"/>
          <w:color w:val="000000"/>
          <w:sz w:val="22"/>
          <w:szCs w:val="22"/>
        </w:rPr>
        <w:t>.</w:t>
      </w:r>
      <w:bookmarkStart w:id="0" w:name="_GoBack"/>
      <w:bookmarkEnd w:id="0"/>
    </w:p>
    <w:p w14:paraId="48B459F7" w14:textId="77777777" w:rsidR="00EA76E2" w:rsidRPr="00626426" w:rsidRDefault="00EA76E2" w:rsidP="00626426">
      <w:pPr>
        <w:contextualSpacing/>
        <w:rPr>
          <w:sz w:val="22"/>
          <w:szCs w:val="22"/>
        </w:rPr>
      </w:pPr>
    </w:p>
    <w:sectPr w:rsidR="00EA76E2" w:rsidRPr="00626426" w:rsidSect="00241766"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D3DA" w14:textId="77777777" w:rsidR="00FD2476" w:rsidRDefault="00FD2476">
      <w:r>
        <w:separator/>
      </w:r>
    </w:p>
  </w:endnote>
  <w:endnote w:type="continuationSeparator" w:id="0">
    <w:p w14:paraId="3BA00C1E" w14:textId="77777777" w:rsidR="00FD2476" w:rsidRDefault="00FD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9E1E" w14:textId="77777777" w:rsidR="00FD56FF" w:rsidRDefault="00FD56FF" w:rsidP="007E3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3A27E" w14:textId="77777777" w:rsidR="00FD56FF" w:rsidRDefault="00FD56FF" w:rsidP="00FD56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E77E" w14:textId="77777777" w:rsidR="00FD56FF" w:rsidRDefault="00FD56FF" w:rsidP="00FD56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DF4A" w14:textId="77777777" w:rsidR="00FD2476" w:rsidRDefault="00FD2476">
      <w:r>
        <w:separator/>
      </w:r>
    </w:p>
  </w:footnote>
  <w:footnote w:type="continuationSeparator" w:id="0">
    <w:p w14:paraId="05F19AD3" w14:textId="77777777" w:rsidR="00FD2476" w:rsidRDefault="00FD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DD2"/>
    <w:multiLevelType w:val="hybridMultilevel"/>
    <w:tmpl w:val="01DEF50A"/>
    <w:lvl w:ilvl="0" w:tplc="CDC0F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33C5"/>
    <w:multiLevelType w:val="multilevel"/>
    <w:tmpl w:val="740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B"/>
    <w:rsid w:val="00053FAE"/>
    <w:rsid w:val="000553C1"/>
    <w:rsid w:val="001562E3"/>
    <w:rsid w:val="001D49CB"/>
    <w:rsid w:val="00241766"/>
    <w:rsid w:val="00377B0D"/>
    <w:rsid w:val="003C37E1"/>
    <w:rsid w:val="003D369C"/>
    <w:rsid w:val="00465C5C"/>
    <w:rsid w:val="004959C7"/>
    <w:rsid w:val="00563729"/>
    <w:rsid w:val="00626426"/>
    <w:rsid w:val="007E31DF"/>
    <w:rsid w:val="007F22E9"/>
    <w:rsid w:val="00856E97"/>
    <w:rsid w:val="00971CE5"/>
    <w:rsid w:val="009968CE"/>
    <w:rsid w:val="00A007A3"/>
    <w:rsid w:val="00A037A3"/>
    <w:rsid w:val="00AD24D0"/>
    <w:rsid w:val="00B70758"/>
    <w:rsid w:val="00BA0149"/>
    <w:rsid w:val="00BA2A7B"/>
    <w:rsid w:val="00C918BB"/>
    <w:rsid w:val="00CF01A7"/>
    <w:rsid w:val="00D430EC"/>
    <w:rsid w:val="00E8489A"/>
    <w:rsid w:val="00EA76E2"/>
    <w:rsid w:val="00EF1759"/>
    <w:rsid w:val="00F77054"/>
    <w:rsid w:val="00FD2476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C3E78"/>
  <w15:chartTrackingRefBased/>
  <w15:docId w15:val="{C21F114F-BD54-4073-B3DD-E7BF3C7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014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er">
    <w:name w:val="footer"/>
    <w:basedOn w:val="Normal"/>
    <w:rsid w:val="00FD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6FF"/>
  </w:style>
  <w:style w:type="paragraph" w:styleId="Header">
    <w:name w:val="header"/>
    <w:basedOn w:val="Normal"/>
    <w:rsid w:val="00B70758"/>
    <w:pPr>
      <w:tabs>
        <w:tab w:val="center" w:pos="4320"/>
        <w:tab w:val="right" w:pos="8640"/>
      </w:tabs>
    </w:pPr>
  </w:style>
  <w:style w:type="character" w:styleId="Hyperlink">
    <w:name w:val="Hyperlink"/>
    <w:rsid w:val="003C37E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4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buccialia@hopeatthelak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at The Point Foundation</vt:lpstr>
    </vt:vector>
  </TitlesOfParts>
  <Company>PrismManagement</Company>
  <LinksUpToDate>false</LinksUpToDate>
  <CharactersWithSpaces>2876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mailto:hopeatthelake.grants@gmail.com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http://www.hope-lake.org/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at The Point Foundation</dc:title>
  <dc:subject/>
  <dc:creator>Paul Reeve</dc:creator>
  <cp:keywords/>
  <dc:description/>
  <cp:lastModifiedBy>Beetner, Riley</cp:lastModifiedBy>
  <cp:revision>7</cp:revision>
  <cp:lastPrinted>2014-04-05T18:39:00Z</cp:lastPrinted>
  <dcterms:created xsi:type="dcterms:W3CDTF">2022-06-16T15:33:00Z</dcterms:created>
  <dcterms:modified xsi:type="dcterms:W3CDTF">2022-06-20T18:34:00Z</dcterms:modified>
</cp:coreProperties>
</file>